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2BCF" w14:textId="77777777" w:rsidR="002037C5" w:rsidRDefault="00000000">
      <w:pPr>
        <w:pStyle w:val="Standard"/>
        <w:jc w:val="center"/>
        <w:rPr>
          <w:rFonts w:ascii="Times New Roman" w:eastAsia="Times New Roman" w:hAnsi="Times New Roman" w:cs="Times New Roman"/>
          <w:b/>
          <w:bCs/>
          <w:i/>
          <w:iCs/>
          <w:sz w:val="24"/>
          <w:szCs w:val="24"/>
        </w:rPr>
      </w:pPr>
      <w:r>
        <w:rPr>
          <w:rFonts w:ascii="Times New Roman" w:hAnsi="Times New Roman"/>
          <w:b/>
          <w:bCs/>
          <w:i/>
          <w:iCs/>
          <w:sz w:val="24"/>
          <w:szCs w:val="24"/>
        </w:rPr>
        <w:t xml:space="preserve">Accordo tra la Comproprietà Sporting Hotel Palumbalza, Bizzi Hotel Spa, ATM (Associazione Tutela Multiproprietari) e Germini Amministrazioni srl, rappresentata dal Dott. Carlo Germini, allegato alla presentazione della candidatura della Germini Amministrazioni ad amministratore e costituente condizione per la sua accettazione della nomina </w:t>
      </w:r>
    </w:p>
    <w:p w14:paraId="60B0830F" w14:textId="77777777" w:rsidR="002037C5" w:rsidRDefault="002037C5">
      <w:pPr>
        <w:pStyle w:val="Standard"/>
        <w:jc w:val="center"/>
        <w:rPr>
          <w:rFonts w:ascii="Times New Roman" w:eastAsia="Times New Roman" w:hAnsi="Times New Roman" w:cs="Times New Roman"/>
          <w:b/>
          <w:bCs/>
          <w:i/>
          <w:iCs/>
          <w:sz w:val="24"/>
          <w:szCs w:val="24"/>
        </w:rPr>
      </w:pPr>
    </w:p>
    <w:p w14:paraId="6EA0AEA3" w14:textId="77777777" w:rsidR="002037C5" w:rsidRDefault="00000000">
      <w:pPr>
        <w:pStyle w:val="Standard"/>
        <w:rPr>
          <w:rFonts w:ascii="Times New Roman" w:eastAsia="Times New Roman" w:hAnsi="Times New Roman" w:cs="Times New Roman"/>
          <w:sz w:val="24"/>
          <w:szCs w:val="24"/>
        </w:rPr>
      </w:pPr>
      <w:r>
        <w:rPr>
          <w:rFonts w:ascii="Times New Roman" w:hAnsi="Times New Roman"/>
          <w:sz w:val="24"/>
          <w:szCs w:val="24"/>
        </w:rPr>
        <w:t>Tra Bizzi Hotel Spa rappresentata dal Dott. Matteo Bizzi e l’Associazione Tutela Multiproprietari Hotel Sporting Palumbalza rappresentata dal Dott. Esposito Gaetano</w:t>
      </w:r>
    </w:p>
    <w:p w14:paraId="25589B67" w14:textId="77777777" w:rsidR="002037C5" w:rsidRDefault="00000000">
      <w:pPr>
        <w:pStyle w:val="Standard"/>
        <w:numPr>
          <w:ilvl w:val="0"/>
          <w:numId w:val="2"/>
        </w:numPr>
        <w:rPr>
          <w:rFonts w:ascii="Times New Roman" w:hAnsi="Times New Roman"/>
          <w:sz w:val="24"/>
          <w:szCs w:val="24"/>
        </w:rPr>
      </w:pPr>
      <w:r>
        <w:rPr>
          <w:rFonts w:ascii="Times New Roman" w:hAnsi="Times New Roman"/>
          <w:sz w:val="24"/>
          <w:szCs w:val="24"/>
        </w:rPr>
        <w:t>Vista la necessità di garantire un corretto rapporto che possa garantire ai multiproprietari di godere del proprio periodo di ferie nella massima serenità</w:t>
      </w:r>
    </w:p>
    <w:p w14:paraId="534E7F61" w14:textId="77777777" w:rsidR="002037C5" w:rsidRDefault="00000000">
      <w:pPr>
        <w:pStyle w:val="Standard"/>
        <w:numPr>
          <w:ilvl w:val="0"/>
          <w:numId w:val="2"/>
        </w:numPr>
        <w:rPr>
          <w:rFonts w:ascii="Times New Roman" w:hAnsi="Times New Roman"/>
          <w:sz w:val="24"/>
          <w:szCs w:val="24"/>
        </w:rPr>
      </w:pPr>
      <w:r>
        <w:rPr>
          <w:rFonts w:ascii="Times New Roman" w:hAnsi="Times New Roman"/>
          <w:sz w:val="24"/>
          <w:szCs w:val="24"/>
        </w:rPr>
        <w:t>Vista l’opportunità di eliminare il contenzioso ad oggi esistente mediante la nomina di un nuovo amministratore cui venga demandata la verifica delle delibere oggetto di impugnativa giudiziaria;</w:t>
      </w:r>
    </w:p>
    <w:p w14:paraId="05799897" w14:textId="77777777" w:rsidR="002037C5" w:rsidRDefault="00000000">
      <w:pPr>
        <w:pStyle w:val="Standard"/>
        <w:rPr>
          <w:rFonts w:ascii="Times New Roman" w:eastAsia="Times New Roman" w:hAnsi="Times New Roman" w:cs="Times New Roman"/>
          <w:sz w:val="24"/>
          <w:szCs w:val="24"/>
        </w:rPr>
      </w:pPr>
      <w:r>
        <w:rPr>
          <w:rFonts w:ascii="Times New Roman" w:hAnsi="Times New Roman"/>
          <w:sz w:val="24"/>
          <w:szCs w:val="24"/>
        </w:rPr>
        <w:t>Si concorda quanto segue:</w:t>
      </w:r>
    </w:p>
    <w:p w14:paraId="24DF7EFF" w14:textId="77777777" w:rsidR="002037C5" w:rsidRDefault="00000000">
      <w:pPr>
        <w:pStyle w:val="Paragrafoelenco"/>
        <w:numPr>
          <w:ilvl w:val="0"/>
          <w:numId w:val="4"/>
        </w:numPr>
        <w:jc w:val="both"/>
        <w:rPr>
          <w:rFonts w:ascii="Times New Roman" w:hAnsi="Times New Roman"/>
          <w:sz w:val="24"/>
          <w:szCs w:val="24"/>
        </w:rPr>
      </w:pPr>
      <w:r>
        <w:rPr>
          <w:rFonts w:ascii="Times New Roman" w:hAnsi="Times New Roman"/>
          <w:sz w:val="24"/>
          <w:szCs w:val="24"/>
        </w:rPr>
        <w:t>Le parti concordano che nell’assemblea della Comunione del _________., a seguito delle dimissioni della Dott.ssa Katia Gressani, venga nominato quale nuovo Amministratore il dott. Carlo Germini. Il nuovo amministratore dovrà preventivamente dichiarare l'assenza di conflitti d’interesse con le parti coinvolte nel presente accordo e le relative società collegate e di svolgere il proprio incarico in conformità ai principi di buona amministrazione e corretta gestione contabile;</w:t>
      </w:r>
    </w:p>
    <w:p w14:paraId="2D17C192" w14:textId="77777777" w:rsidR="002037C5" w:rsidRPr="00FE108F" w:rsidRDefault="00000000" w:rsidP="00FE108F">
      <w:pPr>
        <w:widowControl/>
        <w:numPr>
          <w:ilvl w:val="0"/>
          <w:numId w:val="4"/>
        </w:numPr>
        <w:suppressAutoHyphens w:val="0"/>
        <w:spacing w:line="240" w:lineRule="auto"/>
        <w:jc w:val="both"/>
        <w:rPr>
          <w:rFonts w:ascii="Times New Roman" w:hAnsi="Times New Roman"/>
          <w:color w:val="222222"/>
          <w:sz w:val="24"/>
          <w:szCs w:val="24"/>
        </w:rPr>
      </w:pPr>
      <w:r w:rsidRPr="00FE108F">
        <w:rPr>
          <w:rFonts w:ascii="Times New Roman" w:hAnsi="Times New Roman"/>
          <w:sz w:val="24"/>
          <w:szCs w:val="24"/>
        </w:rPr>
        <w:t xml:space="preserve">A seguito della nomina del Dott. Germini quale nuovo Amministratore le parti si impegnano a far rinviare tutte le cause oggi in essere riguardanti la Comproprietà Hotel Sporting Palumbalza e a non introdurne di nuove almeno fino al raggiungimento di un accordo transattivo per ognuna di esse, con esclusione di quella riguardante la richiesta di annullamento dell’articolo del regolamento che prevede il primo delegato. in modo che il nuovo amministratore possa lavorare con serenità..  </w:t>
      </w:r>
      <w:r w:rsidRPr="00FE108F">
        <w:rPr>
          <w:rFonts w:ascii="Times New Roman" w:hAnsi="Times New Roman"/>
          <w:i/>
          <w:iCs/>
          <w:sz w:val="24"/>
          <w:szCs w:val="24"/>
          <w:u w:val="single"/>
        </w:rPr>
        <w:t>Tale risultato viene considerato dal Dott. Carlo Germini assolutamente necessario e condizione del proseguimento del proprio incarico</w:t>
      </w:r>
      <w:r w:rsidRPr="00FE108F">
        <w:rPr>
          <w:rFonts w:ascii="Times New Roman" w:hAnsi="Times New Roman"/>
          <w:sz w:val="24"/>
          <w:szCs w:val="24"/>
        </w:rPr>
        <w:t xml:space="preserve">. </w:t>
      </w:r>
    </w:p>
    <w:p w14:paraId="0369DC14" w14:textId="77777777" w:rsidR="002037C5" w:rsidRPr="00FE108F" w:rsidRDefault="00000000" w:rsidP="00FE108F">
      <w:pPr>
        <w:pStyle w:val="Paragrafoelenco"/>
        <w:numPr>
          <w:ilvl w:val="0"/>
          <w:numId w:val="5"/>
        </w:numPr>
        <w:jc w:val="both"/>
        <w:rPr>
          <w:rFonts w:ascii="Times New Roman" w:hAnsi="Times New Roman"/>
          <w:sz w:val="17"/>
          <w:szCs w:val="17"/>
        </w:rPr>
      </w:pPr>
      <w:r w:rsidRPr="00FE108F">
        <w:rPr>
          <w:sz w:val="17"/>
          <w:szCs w:val="17"/>
        </w:rPr>
        <w:t> </w:t>
      </w:r>
      <w:r w:rsidRPr="00FE108F">
        <w:rPr>
          <w:rFonts w:ascii="Times New Roman" w:hAnsi="Times New Roman"/>
          <w:sz w:val="24"/>
          <w:szCs w:val="24"/>
        </w:rPr>
        <w:t>In ragione di quanto previsto al punto 2) l’Assemblea conferirà al Dott. Germini un incarico per</w:t>
      </w:r>
      <w:r>
        <w:rPr>
          <w:rFonts w:ascii="Times New Roman" w:hAnsi="Times New Roman"/>
          <w:sz w:val="24"/>
          <w:szCs w:val="24"/>
        </w:rPr>
        <w:t xml:space="preserve"> la revisione contabile completa degli ultimi 5 anni e di tutti i documenti e bilanci sottoposti ad impugnativa giudiziaria, con l’impegno a ripresentare i documenti di bilancio ad una nuova assemblea per ottenere una nuova approvazione</w:t>
      </w:r>
      <w:r w:rsidRPr="00FE108F">
        <w:rPr>
          <w:rFonts w:ascii="Times New Roman" w:hAnsi="Times New Roman"/>
          <w:sz w:val="24"/>
          <w:szCs w:val="24"/>
        </w:rPr>
        <w:t xml:space="preserve">; così come avvenuto per l’Hotel Alaska la relazione contabile sarà controllata e certificata da un revisore indicato dalla ATM. </w:t>
      </w:r>
    </w:p>
    <w:p w14:paraId="0F2C9D2C" w14:textId="77777777" w:rsidR="002037C5" w:rsidRDefault="00000000" w:rsidP="00FE108F">
      <w:pPr>
        <w:pStyle w:val="Paragrafoelenco"/>
        <w:numPr>
          <w:ilvl w:val="0"/>
          <w:numId w:val="4"/>
        </w:numPr>
        <w:jc w:val="both"/>
        <w:rPr>
          <w:rFonts w:ascii="Times New Roman" w:hAnsi="Times New Roman"/>
          <w:sz w:val="24"/>
          <w:szCs w:val="24"/>
        </w:rPr>
      </w:pPr>
      <w:r w:rsidRPr="00FE108F">
        <w:rPr>
          <w:rFonts w:ascii="Times New Roman" w:hAnsi="Times New Roman"/>
          <w:sz w:val="24"/>
          <w:szCs w:val="24"/>
        </w:rPr>
        <w:t>Le parti si impegnano, ora per allora, ad approvare le delibere riportanti le revisioni contabili eseguite dal Dott. Germini e certificate dal revisore contabile indicato.</w:t>
      </w:r>
      <w:r>
        <w:rPr>
          <w:rFonts w:ascii="Times New Roman" w:hAnsi="Times New Roman"/>
          <w:sz w:val="24"/>
          <w:szCs w:val="24"/>
          <w:shd w:val="clear" w:color="auto" w:fill="FFFF00"/>
        </w:rPr>
        <w:t xml:space="preserve"> </w:t>
      </w:r>
    </w:p>
    <w:p w14:paraId="3D965369" w14:textId="77777777" w:rsidR="002037C5" w:rsidRDefault="00000000" w:rsidP="00FE108F">
      <w:pPr>
        <w:widowControl/>
        <w:numPr>
          <w:ilvl w:val="0"/>
          <w:numId w:val="4"/>
        </w:numPr>
        <w:suppressAutoHyphens w:val="0"/>
        <w:spacing w:line="240" w:lineRule="auto"/>
        <w:jc w:val="both"/>
        <w:rPr>
          <w:rFonts w:ascii="Times New Roman" w:hAnsi="Times New Roman"/>
          <w:sz w:val="24"/>
          <w:szCs w:val="24"/>
        </w:rPr>
      </w:pPr>
      <w:r>
        <w:rPr>
          <w:rFonts w:ascii="Times New Roman" w:hAnsi="Times New Roman"/>
          <w:sz w:val="24"/>
          <w:szCs w:val="24"/>
        </w:rPr>
        <w:t>Le parti ed il Dott. Germini si impegnano a porre in capo alla Comunione - Comproprietà Palumbalza l’obbligo di sostenere il pagamento delle spese legali di tutti gli avvocati coinvolti nei procedimenti di cui all’allegato “A” dietro emissione di fatture secondo le tabelle vigenti</w:t>
      </w:r>
    </w:p>
    <w:p w14:paraId="4B0AC659" w14:textId="0013D6C3" w:rsidR="002037C5" w:rsidRPr="0027310A" w:rsidRDefault="00000000" w:rsidP="00FE108F">
      <w:pPr>
        <w:widowControl/>
        <w:numPr>
          <w:ilvl w:val="0"/>
          <w:numId w:val="4"/>
        </w:numPr>
        <w:shd w:val="clear" w:color="auto" w:fill="FFFF00"/>
        <w:suppressAutoHyphens w:val="0"/>
        <w:spacing w:line="240" w:lineRule="auto"/>
        <w:jc w:val="both"/>
        <w:rPr>
          <w:rFonts w:ascii="Times New Roman" w:hAnsi="Times New Roman"/>
          <w:sz w:val="24"/>
          <w:szCs w:val="24"/>
        </w:rPr>
      </w:pPr>
      <w:r w:rsidRPr="0027310A">
        <w:rPr>
          <w:rFonts w:ascii="Times New Roman" w:hAnsi="Times New Roman"/>
          <w:sz w:val="24"/>
          <w:szCs w:val="24"/>
        </w:rPr>
        <w:t xml:space="preserve">L’amministratore si impegna a non emettere decreti ingiuntivi verso i comproprietari morosi e a non proseguire quelli in via di definizione fino a quando la revisione contabile non sarà completata e ratificata dalla assemblea. Si impegna </w:t>
      </w:r>
      <w:r w:rsidR="00FE108F" w:rsidRPr="0027310A">
        <w:rPr>
          <w:rFonts w:ascii="Times New Roman" w:hAnsi="Times New Roman"/>
          <w:sz w:val="24"/>
          <w:szCs w:val="24"/>
        </w:rPr>
        <w:t xml:space="preserve">inoltre </w:t>
      </w:r>
      <w:r w:rsidRPr="0027310A">
        <w:rPr>
          <w:rFonts w:ascii="Times New Roman" w:hAnsi="Times New Roman"/>
          <w:sz w:val="24"/>
          <w:szCs w:val="24"/>
        </w:rPr>
        <w:t xml:space="preserve">ad assicurare a tutti i comproprietari le stesse possibilità di dilazione senza alcuna parzialità. Si impegna altresì a  non prendere in esame e non mettere all’ordine del giorno delle assemblee per i prossimi tre anni lavori straordinari che non abbiano carattere di assoluta urgenza e conferma che comunque per i futuri lavori di riqualificazione verrà rispettato quanto </w:t>
      </w:r>
      <w:proofErr w:type="spellStart"/>
      <w:r w:rsidR="00FE108F" w:rsidRPr="0027310A">
        <w:rPr>
          <w:rFonts w:ascii="Times New Roman" w:hAnsi="Times New Roman"/>
          <w:sz w:val="24"/>
          <w:szCs w:val="24"/>
        </w:rPr>
        <w:t>gia</w:t>
      </w:r>
      <w:proofErr w:type="spellEnd"/>
      <w:r w:rsidRPr="0027310A">
        <w:rPr>
          <w:rFonts w:ascii="Times New Roman" w:hAnsi="Times New Roman"/>
          <w:sz w:val="24"/>
          <w:szCs w:val="24"/>
        </w:rPr>
        <w:t xml:space="preserve"> concordato per l’Hotel Alaska e previsto dall’articolo di seguito riportato:</w:t>
      </w:r>
    </w:p>
    <w:p w14:paraId="00DC5921" w14:textId="77777777" w:rsidR="00A72C84" w:rsidRPr="0027310A" w:rsidRDefault="00000000" w:rsidP="00FE108F">
      <w:pPr>
        <w:widowControl/>
        <w:numPr>
          <w:ilvl w:val="0"/>
          <w:numId w:val="6"/>
        </w:numPr>
        <w:shd w:val="clear" w:color="auto" w:fill="FFFF00"/>
        <w:suppressAutoHyphens w:val="0"/>
        <w:spacing w:line="240" w:lineRule="auto"/>
        <w:jc w:val="both"/>
        <w:rPr>
          <w:rFonts w:ascii="Times New Roman" w:hAnsi="Times New Roman"/>
          <w:sz w:val="20"/>
          <w:szCs w:val="20"/>
        </w:rPr>
      </w:pPr>
      <w:r w:rsidRPr="0027310A">
        <w:rPr>
          <w:sz w:val="20"/>
          <w:szCs w:val="20"/>
        </w:rPr>
        <w:t>L’Amm.re della Comproprietà Hotel Sporting Palumbalza si impegna a seguire, per l’approvazione dei lavori straordinari non urgenti e/o innovativi, una procedura in ragione della quale gli stessi non potranno essere appaltati e/o eseguiti senza la preventiva delibera assembleare: detta procedura sarà gestita dalla Comproprietà nella persona dell’amministratore p.t., unitamente al comproprietario Bizzi Hotel Spa e ad A.T.M., Associazione Tutela Multiproprietari, C.F. 96406800589, rappresentata dal Presidente, Sig.  Gaetano Esposito, o dal diverso soggetto da quest’ultima indicato, nei limiti delle rispettive competenze rimanendo di competenza esclusiva dell'assemblea l'affidamento dell'incarico relativo all'appalto.  Per procedura si intende: - valutazione della necessità dei lavori; - eventuale incarico ad un tecnico per l'eventuale fattibilità dei lavori, per l’eventuale progettazione e per la redazione del computo metrico; - raccolta di preventivi sulla base del computo metrico messo a disposizione dei comproprietari con congruo anticipo.</w:t>
      </w:r>
      <w:r w:rsidR="00A72C84" w:rsidRPr="0027310A">
        <w:rPr>
          <w:sz w:val="27"/>
          <w:szCs w:val="27"/>
        </w:rPr>
        <w:t xml:space="preserve"> </w:t>
      </w:r>
    </w:p>
    <w:p w14:paraId="477B10D3" w14:textId="77777777" w:rsidR="00A72C84" w:rsidRPr="00A72C84" w:rsidRDefault="00A72C84" w:rsidP="00A72C84">
      <w:pPr>
        <w:widowControl/>
        <w:suppressAutoHyphens w:val="0"/>
        <w:spacing w:line="240" w:lineRule="auto"/>
        <w:jc w:val="both"/>
        <w:rPr>
          <w:rFonts w:ascii="Times New Roman" w:hAnsi="Times New Roman"/>
          <w:strike/>
          <w:sz w:val="20"/>
          <w:szCs w:val="20"/>
        </w:rPr>
      </w:pPr>
    </w:p>
    <w:p w14:paraId="732EAF10" w14:textId="77777777" w:rsidR="002037C5" w:rsidRPr="00A72C84" w:rsidRDefault="002037C5" w:rsidP="00A72C84">
      <w:pPr>
        <w:widowControl/>
        <w:suppressAutoHyphens w:val="0"/>
        <w:spacing w:line="240" w:lineRule="auto"/>
        <w:jc w:val="both"/>
        <w:rPr>
          <w:rFonts w:ascii="Times New Roman" w:eastAsia="Times New Roman" w:hAnsi="Times New Roman" w:cs="Times New Roman"/>
          <w:strike/>
          <w:sz w:val="24"/>
          <w:szCs w:val="24"/>
        </w:rPr>
      </w:pPr>
    </w:p>
    <w:p w14:paraId="60FEF604" w14:textId="77777777" w:rsidR="002037C5" w:rsidRDefault="00000000">
      <w:pPr>
        <w:widowControl/>
        <w:numPr>
          <w:ilvl w:val="0"/>
          <w:numId w:val="4"/>
        </w:numPr>
        <w:suppressAutoHyphens w:val="0"/>
        <w:jc w:val="both"/>
        <w:rPr>
          <w:rFonts w:ascii="Times New Roman" w:hAnsi="Times New Roman"/>
          <w:sz w:val="24"/>
          <w:szCs w:val="24"/>
        </w:rPr>
      </w:pPr>
      <w:r>
        <w:rPr>
          <w:rFonts w:ascii="Times New Roman" w:hAnsi="Times New Roman"/>
          <w:sz w:val="24"/>
          <w:szCs w:val="24"/>
        </w:rPr>
        <w:t>Le parti si impegnano a collaborare in buona fede per ripristinare condizioni di serena convivenza all’interno della comproprietà e per approvare esclusivamente in maniera consensuale le future delibere relative alle eventuali opere di riqualificazione.</w:t>
      </w:r>
    </w:p>
    <w:p w14:paraId="3030E560" w14:textId="77777777" w:rsidR="002037C5" w:rsidRDefault="00000000">
      <w:pPr>
        <w:widowControl/>
        <w:numPr>
          <w:ilvl w:val="0"/>
          <w:numId w:val="4"/>
        </w:numPr>
        <w:suppressAutoHyphens w:val="0"/>
        <w:jc w:val="both"/>
        <w:rPr>
          <w:rFonts w:ascii="Times New Roman" w:hAnsi="Times New Roman"/>
          <w:sz w:val="24"/>
          <w:szCs w:val="24"/>
        </w:rPr>
      </w:pPr>
      <w:r>
        <w:rPr>
          <w:rFonts w:ascii="Times New Roman" w:hAnsi="Times New Roman"/>
          <w:sz w:val="24"/>
          <w:szCs w:val="24"/>
        </w:rPr>
        <w:t>Il Dott. Bizzi e il Dott. Esposito si impegnano a concordare tra loro nuove formule per aumentare la godibilità delle quote della comunione che tengano conto della mutata gestione della struttura e che coinvolgano gli aderenti alla Associazione ATM;</w:t>
      </w:r>
    </w:p>
    <w:p w14:paraId="5EDC5942" w14:textId="77777777" w:rsidR="002037C5" w:rsidRDefault="00000000">
      <w:pPr>
        <w:widowControl/>
        <w:suppressAutoHyphens w:val="0"/>
        <w:spacing w:after="176"/>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_____________________</w:t>
      </w:r>
    </w:p>
    <w:p w14:paraId="46591A75" w14:textId="77777777" w:rsidR="002037C5" w:rsidRDefault="002037C5">
      <w:pPr>
        <w:widowControl/>
        <w:suppressAutoHyphens w:val="0"/>
        <w:spacing w:after="176"/>
        <w:jc w:val="both"/>
        <w:rPr>
          <w:rFonts w:ascii="Times New Roman" w:eastAsia="Times New Roman" w:hAnsi="Times New Roman" w:cs="Times New Roman"/>
          <w:color w:val="222222"/>
          <w:sz w:val="24"/>
          <w:szCs w:val="24"/>
          <w:u w:color="222222"/>
          <w:shd w:val="clear" w:color="auto" w:fill="FFFFFF"/>
        </w:rPr>
      </w:pPr>
    </w:p>
    <w:p w14:paraId="6358E068" w14:textId="77777777" w:rsidR="002037C5" w:rsidRDefault="00000000">
      <w:pPr>
        <w:widowControl/>
        <w:suppressAutoHyphens w:val="0"/>
        <w:spacing w:after="176"/>
        <w:jc w:val="both"/>
      </w:pPr>
      <w:r>
        <w:rPr>
          <w:rFonts w:ascii="Times New Roman" w:hAnsi="Times New Roman"/>
          <w:color w:val="222222"/>
          <w:sz w:val="24"/>
          <w:szCs w:val="24"/>
          <w:u w:color="222222"/>
          <w:shd w:val="clear" w:color="auto" w:fill="FFFFFF"/>
        </w:rPr>
        <w:t>Associazione ATM</w:t>
      </w:r>
      <w:r>
        <w:rPr>
          <w:rFonts w:ascii="Times New Roman" w:hAnsi="Times New Roman"/>
          <w:color w:val="222222"/>
          <w:sz w:val="24"/>
          <w:szCs w:val="24"/>
          <w:u w:color="222222"/>
          <w:shd w:val="clear" w:color="auto" w:fill="FFFFFF"/>
        </w:rPr>
        <w:tab/>
      </w:r>
      <w:r>
        <w:rPr>
          <w:rFonts w:ascii="Times New Roman" w:hAnsi="Times New Roman"/>
          <w:color w:val="222222"/>
          <w:sz w:val="24"/>
          <w:szCs w:val="24"/>
          <w:u w:color="222222"/>
          <w:shd w:val="clear" w:color="auto" w:fill="FFFFFF"/>
        </w:rPr>
        <w:tab/>
      </w:r>
      <w:r>
        <w:rPr>
          <w:rFonts w:ascii="Times New Roman" w:hAnsi="Times New Roman"/>
          <w:color w:val="222222"/>
          <w:sz w:val="24"/>
          <w:szCs w:val="24"/>
          <w:u w:color="222222"/>
          <w:shd w:val="clear" w:color="auto" w:fill="FFFFFF"/>
        </w:rPr>
        <w:tab/>
        <w:t>Dott Carlo Germini</w:t>
      </w:r>
      <w:r>
        <w:rPr>
          <w:rFonts w:ascii="Times New Roman" w:hAnsi="Times New Roman"/>
          <w:color w:val="222222"/>
          <w:sz w:val="24"/>
          <w:szCs w:val="24"/>
          <w:u w:color="222222"/>
          <w:shd w:val="clear" w:color="auto" w:fill="FFFFFF"/>
        </w:rPr>
        <w:tab/>
      </w:r>
      <w:r>
        <w:rPr>
          <w:rFonts w:ascii="Times New Roman" w:hAnsi="Times New Roman"/>
          <w:color w:val="222222"/>
          <w:sz w:val="24"/>
          <w:szCs w:val="24"/>
          <w:u w:color="222222"/>
          <w:shd w:val="clear" w:color="auto" w:fill="FFFFFF"/>
        </w:rPr>
        <w:tab/>
      </w:r>
      <w:r>
        <w:rPr>
          <w:rFonts w:ascii="Times New Roman" w:hAnsi="Times New Roman"/>
          <w:color w:val="222222"/>
          <w:sz w:val="24"/>
          <w:szCs w:val="24"/>
          <w:u w:color="222222"/>
          <w:shd w:val="clear" w:color="auto" w:fill="FFFFFF"/>
        </w:rPr>
        <w:tab/>
        <w:t>Bizzi Hotel S.p.A.</w:t>
      </w:r>
    </w:p>
    <w:sectPr w:rsidR="002037C5">
      <w:headerReference w:type="default" r:id="rId7"/>
      <w:footerReference w:type="default" r:id="rId8"/>
      <w:pgSz w:w="11900" w:h="16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B920" w14:textId="77777777" w:rsidR="00812836" w:rsidRDefault="00812836">
      <w:pPr>
        <w:spacing w:after="0" w:line="240" w:lineRule="auto"/>
      </w:pPr>
      <w:r>
        <w:separator/>
      </w:r>
    </w:p>
  </w:endnote>
  <w:endnote w:type="continuationSeparator" w:id="0">
    <w:p w14:paraId="0F0064EB" w14:textId="77777777" w:rsidR="00812836" w:rsidRDefault="0081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ACFF"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AD34" w14:textId="77777777" w:rsidR="002037C5" w:rsidRDefault="002037C5">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2972" w14:textId="77777777" w:rsidR="00812836" w:rsidRDefault="00812836">
      <w:pPr>
        <w:spacing w:after="0" w:line="240" w:lineRule="auto"/>
      </w:pPr>
      <w:r>
        <w:separator/>
      </w:r>
    </w:p>
  </w:footnote>
  <w:footnote w:type="continuationSeparator" w:id="0">
    <w:p w14:paraId="2247B482" w14:textId="77777777" w:rsidR="00812836" w:rsidRDefault="0081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A514" w14:textId="77777777" w:rsidR="002037C5" w:rsidRDefault="002037C5">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2949"/>
    <w:multiLevelType w:val="multilevel"/>
    <w:tmpl w:val="016E3E3A"/>
    <w:styleLink w:val="WWNum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931CB4"/>
    <w:multiLevelType w:val="multilevel"/>
    <w:tmpl w:val="016E3E3A"/>
    <w:numStyleLink w:val="WWNum1"/>
  </w:abstractNum>
  <w:abstractNum w:abstractNumId="2" w15:restartNumberingAfterBreak="0">
    <w:nsid w:val="3E126DF3"/>
    <w:multiLevelType w:val="hybridMultilevel"/>
    <w:tmpl w:val="BC64FFE8"/>
    <w:styleLink w:val="Stileimportato1"/>
    <w:lvl w:ilvl="0" w:tplc="014AF27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B3C81F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78E45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83CEA4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7CFAF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8B8D3E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1B0471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03451F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C484F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7873CE9"/>
    <w:multiLevelType w:val="hybridMultilevel"/>
    <w:tmpl w:val="BC64FFE8"/>
    <w:numStyleLink w:val="Stileimportato1"/>
  </w:abstractNum>
  <w:num w:numId="1" w16cid:durableId="2059165446">
    <w:abstractNumId w:val="2"/>
  </w:num>
  <w:num w:numId="2" w16cid:durableId="639001287">
    <w:abstractNumId w:val="3"/>
  </w:num>
  <w:num w:numId="3" w16cid:durableId="255137228">
    <w:abstractNumId w:val="0"/>
  </w:num>
  <w:num w:numId="4" w16cid:durableId="223027835">
    <w:abstractNumId w:val="1"/>
  </w:num>
  <w:num w:numId="5" w16cid:durableId="1092048592">
    <w:abstractNumId w:val="1"/>
    <w:lvlOverride w:ilvl="0">
      <w:lvl w:ilvl="0">
        <w:start w:val="1"/>
        <w:numFmt w:val="decimal"/>
        <w:lvlText w:val="%1)"/>
        <w:lvlJc w:val="left"/>
        <w:pPr>
          <w:ind w:left="508" w:hanging="5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lowerLetter"/>
        <w:lvlText w:val="%2."/>
        <w:lvlJc w:val="left"/>
        <w:pPr>
          <w:ind w:left="868" w:hanging="5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lvlText w:val="%2.%3."/>
        <w:lvlJc w:val="left"/>
        <w:pPr>
          <w:ind w:left="1564" w:hanging="4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2.%3.%4."/>
        <w:lvlJc w:val="left"/>
        <w:pPr>
          <w:ind w:left="2308" w:hanging="5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nothing"/>
        <w:lvlText w:val="%2.%3.%4.%5."/>
        <w:lvlJc w:val="left"/>
        <w:pPr>
          <w:ind w:left="3028" w:hanging="5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nothing"/>
        <w:lvlText w:val="%2.%3.%4.%5.%6."/>
        <w:lvlJc w:val="left"/>
        <w:pPr>
          <w:ind w:left="3724" w:hanging="4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2.%3.%4.%5.%6.%7."/>
        <w:lvlJc w:val="left"/>
        <w:pPr>
          <w:ind w:left="4468" w:hanging="5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Letter"/>
        <w:suff w:val="nothing"/>
        <w:lvlText w:val="%2.%3.%4.%5.%6.%7.%8."/>
        <w:lvlJc w:val="left"/>
        <w:pPr>
          <w:ind w:left="5188" w:hanging="5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suff w:val="nothing"/>
        <w:lvlText w:val="%2.%3.%4.%5.%6.%7.%8.%9."/>
        <w:lvlJc w:val="left"/>
        <w:pPr>
          <w:ind w:left="5884" w:hanging="4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276789439">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7"/>
  <w:displayBackgroundShape/>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C5"/>
    <w:rsid w:val="002037C5"/>
    <w:rsid w:val="0027310A"/>
    <w:rsid w:val="00411762"/>
    <w:rsid w:val="00812836"/>
    <w:rsid w:val="00953175"/>
    <w:rsid w:val="00A72C84"/>
    <w:rsid w:val="00DB2096"/>
    <w:rsid w:val="00DB653D"/>
    <w:rsid w:val="00DC6A66"/>
    <w:rsid w:val="00E6405D"/>
    <w:rsid w:val="00F26DC3"/>
    <w:rsid w:val="00FE1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B11A"/>
  <w15:docId w15:val="{A59DCFC9-FA9F-41E0-A4A0-BCE631E1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after="160" w:line="249" w:lineRule="auto"/>
    </w:pPr>
    <w:rPr>
      <w:rFonts w:ascii="Calibri" w:hAnsi="Calibri" w:cs="Arial Unicode MS"/>
      <w:color w:val="000000"/>
      <w:kern w:val="3"/>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spacing w:after="160" w:line="249" w:lineRule="auto"/>
    </w:pPr>
    <w:rPr>
      <w:rFonts w:ascii="Calibri" w:hAnsi="Calibri" w:cs="Arial Unicode MS"/>
      <w:color w:val="000000"/>
      <w:kern w:val="3"/>
      <w:sz w:val="22"/>
      <w:szCs w:val="22"/>
      <w:u w:color="000000"/>
    </w:rPr>
  </w:style>
  <w:style w:type="numbering" w:customStyle="1" w:styleId="Stileimportato1">
    <w:name w:val="Stile importato 1"/>
    <w:pPr>
      <w:numPr>
        <w:numId w:val="1"/>
      </w:numPr>
    </w:pPr>
  </w:style>
  <w:style w:type="paragraph" w:styleId="Paragrafoelenco">
    <w:name w:val="List Paragraph"/>
    <w:pPr>
      <w:suppressAutoHyphens/>
      <w:spacing w:after="160" w:line="249" w:lineRule="auto"/>
      <w:ind w:left="720"/>
    </w:pPr>
    <w:rPr>
      <w:rFonts w:ascii="Calibri" w:hAnsi="Calibri" w:cs="Arial Unicode MS"/>
      <w:color w:val="000000"/>
      <w:kern w:val="3"/>
      <w:sz w:val="22"/>
      <w:szCs w:val="22"/>
      <w:u w:color="000000"/>
    </w:rPr>
  </w:style>
  <w:style w:type="numbering" w:customStyle="1" w:styleId="WWNum1">
    <w:name w:val="WWNum1"/>
    <w:pPr>
      <w:numPr>
        <w:numId w:val="3"/>
      </w:numPr>
    </w:pPr>
  </w:style>
  <w:style w:type="paragraph" w:styleId="Revisione">
    <w:name w:val="Revision"/>
    <w:hidden/>
    <w:uiPriority w:val="99"/>
    <w:semiHidden/>
    <w:rsid w:val="00FE10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3"/>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783</Words>
  <Characters>4466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Gaetano Esposito</cp:lastModifiedBy>
  <cp:revision>6</cp:revision>
  <dcterms:created xsi:type="dcterms:W3CDTF">2026-03-24T15:26:00Z</dcterms:created>
  <dcterms:modified xsi:type="dcterms:W3CDTF">2026-03-24T15:29:00Z</dcterms:modified>
</cp:coreProperties>
</file>